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835" w:rsidRDefault="009B0835" w:rsidP="009B0835">
      <w:pPr>
        <w:spacing w:after="0"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2577465</wp:posOffset>
            </wp:positionH>
            <wp:positionV relativeFrom="paragraph">
              <wp:posOffset>-78645</wp:posOffset>
            </wp:positionV>
            <wp:extent cx="762370" cy="696036"/>
            <wp:effectExtent l="0" t="0" r="0" b="0"/>
            <wp:wrapNone/>
            <wp:docPr id="2" name="Рисунок 1" descr="ЛОГО нм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 нмб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370" cy="696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B0835" w:rsidRDefault="009B0835" w:rsidP="009B0835">
      <w:pPr>
        <w:spacing w:after="0" w:line="240" w:lineRule="auto"/>
      </w:pPr>
      <w:r>
        <w:t xml:space="preserve">                      </w:t>
      </w:r>
    </w:p>
    <w:p w:rsidR="009B0835" w:rsidRDefault="009B0835" w:rsidP="009B0835">
      <w:pPr>
        <w:spacing w:after="0" w:line="240" w:lineRule="auto"/>
      </w:pPr>
    </w:p>
    <w:p w:rsidR="009B0835" w:rsidRDefault="009B0835" w:rsidP="009B0835">
      <w:pPr>
        <w:spacing w:after="0" w:line="240" w:lineRule="auto"/>
      </w:pPr>
    </w:p>
    <w:p w:rsidR="009B0835" w:rsidRDefault="009B0835" w:rsidP="009B0835">
      <w:pPr>
        <w:tabs>
          <w:tab w:val="left" w:pos="2670"/>
        </w:tabs>
        <w:spacing w:after="0" w:line="240" w:lineRule="auto"/>
        <w:jc w:val="center"/>
      </w:pPr>
      <w:r>
        <w:t>Тамбовское областное</w:t>
      </w:r>
    </w:p>
    <w:p w:rsidR="009B0835" w:rsidRDefault="009B0835" w:rsidP="009B0835">
      <w:pPr>
        <w:spacing w:after="0"/>
        <w:jc w:val="center"/>
      </w:pPr>
      <w:r>
        <w:t>государственное бюджетное учреждение</w:t>
      </w:r>
    </w:p>
    <w:p w:rsidR="009B0835" w:rsidRDefault="009B0835" w:rsidP="009B0835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AD401D">
        <w:rPr>
          <w:b/>
          <w:sz w:val="24"/>
          <w:szCs w:val="24"/>
        </w:rPr>
        <w:t>НАУЧНАЯ МЕДИЦИНСКАЯ БИБЛИОТЕКА</w:t>
      </w:r>
      <w:r>
        <w:rPr>
          <w:b/>
          <w:sz w:val="24"/>
          <w:szCs w:val="24"/>
        </w:rPr>
        <w:t>»</w:t>
      </w:r>
    </w:p>
    <w:p w:rsidR="009B0835" w:rsidRDefault="009B0835" w:rsidP="009B0835">
      <w:pPr>
        <w:spacing w:line="240" w:lineRule="auto"/>
        <w:jc w:val="center"/>
      </w:pPr>
      <w:r>
        <w:t>г. Тамбов, ул. Гоголя, д. 6</w:t>
      </w:r>
    </w:p>
    <w:p w:rsidR="009B0835" w:rsidRDefault="009B0835" w:rsidP="009B0835">
      <w:pPr>
        <w:spacing w:after="0" w:line="240" w:lineRule="auto"/>
        <w:jc w:val="center"/>
      </w:pPr>
      <w:r>
        <w:t xml:space="preserve">Режим работы: </w:t>
      </w:r>
    </w:p>
    <w:p w:rsidR="009B0835" w:rsidRDefault="009B0835" w:rsidP="009B0835">
      <w:pPr>
        <w:spacing w:after="0" w:line="240" w:lineRule="auto"/>
        <w:jc w:val="center"/>
      </w:pPr>
      <w:r>
        <w:t>(сентябрь – май) ПН-ПТ с 9.00 до 17.30,</w:t>
      </w:r>
    </w:p>
    <w:p w:rsidR="009B0835" w:rsidRDefault="009B0835" w:rsidP="009B0835">
      <w:pPr>
        <w:spacing w:line="240" w:lineRule="auto"/>
        <w:jc w:val="center"/>
      </w:pPr>
      <w:proofErr w:type="gramStart"/>
      <w:r>
        <w:t>СБ</w:t>
      </w:r>
      <w:proofErr w:type="gramEnd"/>
      <w:r>
        <w:t xml:space="preserve"> с 9.00 до 16.00, ВС – выходной день</w:t>
      </w:r>
    </w:p>
    <w:p w:rsidR="009B0835" w:rsidRDefault="009B0835" w:rsidP="009B0835">
      <w:pPr>
        <w:spacing w:after="0" w:line="240" w:lineRule="auto"/>
        <w:jc w:val="center"/>
      </w:pPr>
      <w:r>
        <w:t>(июнь – август) ПН-ПТ с 9.00 до 17.00,</w:t>
      </w:r>
    </w:p>
    <w:p w:rsidR="009B0835" w:rsidRDefault="009B0835" w:rsidP="009B0835">
      <w:pPr>
        <w:spacing w:line="240" w:lineRule="auto"/>
        <w:jc w:val="center"/>
      </w:pPr>
      <w:proofErr w:type="gramStart"/>
      <w:r>
        <w:t>СБ</w:t>
      </w:r>
      <w:proofErr w:type="gramEnd"/>
      <w:r>
        <w:t xml:space="preserve"> и ВС – выходные дни</w:t>
      </w:r>
    </w:p>
    <w:p w:rsidR="009B0835" w:rsidRDefault="009B0835" w:rsidP="009B0835">
      <w:pPr>
        <w:spacing w:after="0" w:line="240" w:lineRule="auto"/>
        <w:jc w:val="center"/>
      </w:pPr>
      <w:r>
        <w:t>Справочно-библиографический отдел: (4752) 75-51-04</w:t>
      </w:r>
    </w:p>
    <w:p w:rsidR="009B0835" w:rsidRDefault="009B0835" w:rsidP="009B0835">
      <w:pPr>
        <w:spacing w:line="240" w:lineRule="auto"/>
        <w:jc w:val="center"/>
      </w:pPr>
      <w:r>
        <w:t>Абонемент: (4752) 75-15-82</w:t>
      </w:r>
    </w:p>
    <w:p w:rsidR="009B0835" w:rsidRPr="00B7052A" w:rsidRDefault="009B0835" w:rsidP="009B0835">
      <w:pPr>
        <w:spacing w:after="0" w:line="240" w:lineRule="auto"/>
        <w:jc w:val="center"/>
      </w:pPr>
      <w:r w:rsidRPr="008A6A9C">
        <w:rPr>
          <w:lang w:val="en-GB"/>
        </w:rPr>
        <w:t>E</w:t>
      </w:r>
      <w:r w:rsidRPr="00B7052A">
        <w:t>-</w:t>
      </w:r>
      <w:r w:rsidRPr="008A6A9C">
        <w:rPr>
          <w:lang w:val="en-GB"/>
        </w:rPr>
        <w:t>mail</w:t>
      </w:r>
      <w:r w:rsidRPr="00B7052A">
        <w:t xml:space="preserve">: </w:t>
      </w:r>
      <w:hyperlink r:id="rId6" w:history="1">
        <w:r w:rsidRPr="00F048E9">
          <w:rPr>
            <w:rStyle w:val="a3"/>
            <w:lang w:val="en-US"/>
          </w:rPr>
          <w:t>onmb</w:t>
        </w:r>
        <w:r w:rsidRPr="00B7052A">
          <w:rPr>
            <w:rStyle w:val="a3"/>
          </w:rPr>
          <w:t>@</w:t>
        </w:r>
        <w:r w:rsidRPr="00F048E9">
          <w:rPr>
            <w:rStyle w:val="a3"/>
            <w:lang w:val="en-US"/>
          </w:rPr>
          <w:t>yandex</w:t>
        </w:r>
        <w:r w:rsidRPr="00B7052A">
          <w:rPr>
            <w:rStyle w:val="a3"/>
          </w:rPr>
          <w:t>.</w:t>
        </w:r>
        <w:r w:rsidRPr="00F048E9">
          <w:rPr>
            <w:rStyle w:val="a3"/>
            <w:lang w:val="en-US"/>
          </w:rPr>
          <w:t>ru</w:t>
        </w:r>
      </w:hyperlink>
    </w:p>
    <w:p w:rsidR="009B0835" w:rsidRPr="00B7052A" w:rsidRDefault="009B0835" w:rsidP="009B0835">
      <w:pPr>
        <w:spacing w:after="0" w:line="240" w:lineRule="auto"/>
        <w:jc w:val="center"/>
      </w:pPr>
      <w:r w:rsidRPr="008A6A9C">
        <w:t>Сайт</w:t>
      </w:r>
      <w:r w:rsidRPr="00B7052A">
        <w:t xml:space="preserve">: </w:t>
      </w:r>
      <w:hyperlink r:id="rId7" w:history="1">
        <w:r w:rsidRPr="008A6A9C">
          <w:rPr>
            <w:rStyle w:val="a3"/>
            <w:lang w:val="en-GB"/>
          </w:rPr>
          <w:t>http</w:t>
        </w:r>
        <w:r w:rsidRPr="00B7052A">
          <w:rPr>
            <w:rStyle w:val="a3"/>
          </w:rPr>
          <w:t>://</w:t>
        </w:r>
        <w:proofErr w:type="spellStart"/>
        <w:r w:rsidRPr="008A6A9C">
          <w:rPr>
            <w:rStyle w:val="a3"/>
            <w:lang w:val="en-GB"/>
          </w:rPr>
          <w:t>medlib</w:t>
        </w:r>
        <w:proofErr w:type="spellEnd"/>
        <w:r w:rsidRPr="00B7052A">
          <w:rPr>
            <w:rStyle w:val="a3"/>
          </w:rPr>
          <w:t>-</w:t>
        </w:r>
        <w:proofErr w:type="spellStart"/>
        <w:r w:rsidRPr="008A6A9C">
          <w:rPr>
            <w:rStyle w:val="a3"/>
            <w:lang w:val="en-GB"/>
          </w:rPr>
          <w:t>tambov</w:t>
        </w:r>
        <w:proofErr w:type="spellEnd"/>
        <w:r w:rsidRPr="00B7052A">
          <w:rPr>
            <w:rStyle w:val="a3"/>
          </w:rPr>
          <w:t>.</w:t>
        </w:r>
        <w:proofErr w:type="spellStart"/>
        <w:r w:rsidRPr="008A6A9C">
          <w:rPr>
            <w:rStyle w:val="a3"/>
            <w:lang w:val="en-GB"/>
          </w:rPr>
          <w:t>ru</w:t>
        </w:r>
        <w:proofErr w:type="spellEnd"/>
      </w:hyperlink>
    </w:p>
    <w:p w:rsidR="009B0835" w:rsidRPr="008A6A9C" w:rsidRDefault="009B0835" w:rsidP="009B0835">
      <w:pPr>
        <w:spacing w:after="0" w:line="240" w:lineRule="auto"/>
        <w:jc w:val="center"/>
      </w:pPr>
      <w:r w:rsidRPr="008A6A9C">
        <w:t xml:space="preserve">ВК: </w:t>
      </w:r>
      <w:hyperlink r:id="rId8" w:history="1">
        <w:r w:rsidRPr="008A6A9C">
          <w:rPr>
            <w:rStyle w:val="a3"/>
          </w:rPr>
          <w:t>https://vk.com/tambov_medlib</w:t>
        </w:r>
      </w:hyperlink>
    </w:p>
    <w:p w:rsidR="009B0835" w:rsidRDefault="009B0835" w:rsidP="009B0835">
      <w:pPr>
        <w:spacing w:line="240" w:lineRule="auto"/>
        <w:jc w:val="center"/>
      </w:pPr>
    </w:p>
    <w:p w:rsidR="009B0835" w:rsidRDefault="009B0835" w:rsidP="009B0835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Гипертония</w:t>
      </w:r>
    </w:p>
    <w:p w:rsidR="009B0835" w:rsidRDefault="009B0835" w:rsidP="009B0835">
      <w:pPr>
        <w:spacing w:line="240" w:lineRule="auto"/>
        <w:ind w:firstLine="567"/>
        <w:rPr>
          <w:sz w:val="24"/>
          <w:szCs w:val="24"/>
        </w:rPr>
      </w:pPr>
      <w:r w:rsidRPr="008A2FC0">
        <w:rPr>
          <w:sz w:val="24"/>
          <w:szCs w:val="24"/>
        </w:rPr>
        <w:t xml:space="preserve">Сотрудниками ТОГБУ «Научная медицинская библиотека» был составлен рекомендательный список </w:t>
      </w:r>
      <w:r>
        <w:rPr>
          <w:sz w:val="24"/>
          <w:szCs w:val="24"/>
        </w:rPr>
        <w:t xml:space="preserve">медицинской </w:t>
      </w:r>
      <w:r w:rsidRPr="008A2FC0">
        <w:rPr>
          <w:sz w:val="24"/>
          <w:szCs w:val="24"/>
        </w:rPr>
        <w:t>литературы по данной тематике. Всю, заинтересовавшую вас литературу, можете заказать и посмотреть у нас!</w:t>
      </w:r>
    </w:p>
    <w:p w:rsidR="00BC1F88" w:rsidRPr="009B0835" w:rsidRDefault="009B0835" w:rsidP="009B0835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 литературы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BC1F88">
        <w:rPr>
          <w:rFonts w:eastAsia="Times New Roman" w:cs="Times New Roman"/>
          <w:bCs/>
          <w:sz w:val="24"/>
          <w:szCs w:val="24"/>
          <w:lang w:eastAsia="ru-RU"/>
        </w:rPr>
        <w:t>Адамян</w:t>
      </w:r>
      <w:proofErr w:type="spellEnd"/>
      <w:r w:rsidRPr="00BC1F88">
        <w:rPr>
          <w:rFonts w:eastAsia="Times New Roman" w:cs="Times New Roman"/>
          <w:bCs/>
          <w:sz w:val="24"/>
          <w:szCs w:val="24"/>
          <w:lang w:eastAsia="ru-RU"/>
        </w:rPr>
        <w:t>, И. В.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   Участие медицинской сестры в организации медицинской помощи при гипертонической болезни / И. В.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Адамян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Медсестра. - 2016. - № 1. - С. 39-42.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5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C1F88">
        <w:rPr>
          <w:rFonts w:eastAsia="Times New Roman" w:cs="Times New Roman"/>
          <w:sz w:val="24"/>
          <w:szCs w:val="24"/>
          <w:lang w:eastAsia="ru-RU"/>
        </w:rPr>
        <w:t>   Актуальные вопросы контроля артериальной гипертензии и нарушения липидного обмена: фокус на приверженность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Профилактическая медицина. - 2015. - № 6. - С. 87-90.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8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C1F88">
        <w:rPr>
          <w:rFonts w:eastAsia="Times New Roman" w:cs="Times New Roman"/>
          <w:sz w:val="24"/>
          <w:szCs w:val="24"/>
          <w:lang w:eastAsia="ru-RU"/>
        </w:rPr>
        <w:t xml:space="preserve">   Вопросы комбинированной гипотензивной терапии: будущее за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сартанами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Терапевт. - 2016. - № 1. - С. 17-25.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16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C1F88">
        <w:rPr>
          <w:rFonts w:eastAsia="Times New Roman" w:cs="Times New Roman"/>
          <w:bCs/>
          <w:sz w:val="24"/>
          <w:szCs w:val="24"/>
          <w:lang w:eastAsia="ru-RU"/>
        </w:rPr>
        <w:t>Глезер, М. Г.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   Как увеличить эффективность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антигипертензивной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 терапии в реальной клинической практике: результаты российской наблюдательной программы ФОРСАЖ / М. Г. Глезер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Кардиология. - 2016. - № 1. - С. 18-24.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17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BC1F88">
        <w:rPr>
          <w:rFonts w:eastAsia="Times New Roman" w:cs="Times New Roman"/>
          <w:bCs/>
          <w:sz w:val="24"/>
          <w:szCs w:val="24"/>
          <w:lang w:eastAsia="ru-RU"/>
        </w:rPr>
        <w:t>Краскова</w:t>
      </w:r>
      <w:proofErr w:type="spellEnd"/>
      <w:r w:rsidRPr="00BC1F88">
        <w:rPr>
          <w:rFonts w:eastAsia="Times New Roman" w:cs="Times New Roman"/>
          <w:bCs/>
          <w:sz w:val="24"/>
          <w:szCs w:val="24"/>
          <w:lang w:eastAsia="ru-RU"/>
        </w:rPr>
        <w:t>, М. И.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   Артериальная гипертония. Руководство по профессиональной подготовке для </w:t>
      </w:r>
      <w:r w:rsidRPr="00BC1F88">
        <w:rPr>
          <w:rFonts w:eastAsia="Times New Roman" w:cs="Times New Roman"/>
          <w:sz w:val="24"/>
          <w:szCs w:val="24"/>
          <w:lang w:eastAsia="ru-RU"/>
        </w:rPr>
        <w:lastRenderedPageBreak/>
        <w:t xml:space="preserve">медсестер / М. И.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Краскова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В помощь практикующей медицинской сестре. - 2015. - № 5. - С. 4-79.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C1F88">
        <w:rPr>
          <w:rFonts w:eastAsia="Times New Roman" w:cs="Times New Roman"/>
          <w:bCs/>
          <w:sz w:val="24"/>
          <w:szCs w:val="24"/>
          <w:lang w:eastAsia="ru-RU"/>
        </w:rPr>
        <w:t>Моисеев, С. В.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   Фиксированная комбинация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лизиноприла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>/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амлодипина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>/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розувастатина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 в лечении артериальной гипертонии, сочетающейся с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дислипидемией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 / С. В. Моисеев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Клиническая фармакология и терапия. - 2015. - № 5. - С. 69-74.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25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C1F88">
        <w:rPr>
          <w:rFonts w:eastAsia="Times New Roman" w:cs="Times New Roman"/>
          <w:bCs/>
          <w:sz w:val="24"/>
          <w:szCs w:val="24"/>
          <w:lang w:eastAsia="ru-RU"/>
        </w:rPr>
        <w:t>Морозова, Т. Е.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>   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Фармакогенетические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 подходы к прогнозированию эффективности и безопасности фармакотерапии артериальной гипертензии / Т. Е. Морозова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Лечащий врач. - 2016. - № 3. - С. 77-81.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55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C1F88">
        <w:rPr>
          <w:rFonts w:eastAsia="Times New Roman" w:cs="Times New Roman"/>
          <w:sz w:val="24"/>
          <w:szCs w:val="24"/>
          <w:lang w:eastAsia="ru-RU"/>
        </w:rPr>
        <w:t>   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Немедикаментозная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 коррекция клинико-функциональных проявлений гипертензивной энцефалопатии у больных артериальной гипертонией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Физиотерапевт. - 2016. - № 1. - С. 41-47.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12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C1F88">
        <w:rPr>
          <w:rFonts w:eastAsia="Times New Roman" w:cs="Times New Roman"/>
          <w:sz w:val="24"/>
          <w:szCs w:val="24"/>
          <w:lang w:eastAsia="ru-RU"/>
        </w:rPr>
        <w:t>   Обострение гипертонической болезни. Эффективное лечение с плохим прогнозом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Скорая медицинская помощь. - 2015. - № 4. - С. 34-39.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21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BC1F88">
        <w:rPr>
          <w:rFonts w:eastAsia="Times New Roman" w:cs="Times New Roman"/>
          <w:bCs/>
          <w:sz w:val="24"/>
          <w:szCs w:val="24"/>
          <w:lang w:eastAsia="ru-RU"/>
        </w:rPr>
        <w:t>Пизова</w:t>
      </w:r>
      <w:proofErr w:type="spellEnd"/>
      <w:r w:rsidRPr="00BC1F88">
        <w:rPr>
          <w:rFonts w:eastAsia="Times New Roman" w:cs="Times New Roman"/>
          <w:bCs/>
          <w:sz w:val="24"/>
          <w:szCs w:val="24"/>
          <w:lang w:eastAsia="ru-RU"/>
        </w:rPr>
        <w:t>, Н. В.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   Когнитивные нарушения при артериальной гипертензии / Н. В.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Пизова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Медицинский совет. Неврология/Ревматология. - 2015. - № 18. - С. 46-49.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35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C1F88">
        <w:rPr>
          <w:rFonts w:eastAsia="Times New Roman" w:cs="Times New Roman"/>
          <w:sz w:val="24"/>
          <w:szCs w:val="24"/>
          <w:lang w:eastAsia="ru-RU"/>
        </w:rPr>
        <w:t xml:space="preserve">   Принципы выбора фиксированных комбинаций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антигипертензивных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 лекарственных средств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CONSILIUM MEDICUM. - 2015. - Т. 17, № 12. - С. 20-27.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Бибилиогр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30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C1F88">
        <w:rPr>
          <w:rFonts w:eastAsia="Times New Roman" w:cs="Times New Roman"/>
          <w:bCs/>
          <w:sz w:val="24"/>
          <w:szCs w:val="24"/>
          <w:lang w:eastAsia="ru-RU"/>
        </w:rPr>
        <w:t>Прохорович, Е. А.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>   Эффективная терапия артериальной гипертензии - надежная профилактика инсульта / Е. А. Прохорович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Врач скорой помощи. - 2015. - № 10. - С. 40-45.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1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C1F88">
        <w:rPr>
          <w:rFonts w:eastAsia="Times New Roman" w:cs="Times New Roman"/>
          <w:bCs/>
          <w:sz w:val="24"/>
          <w:szCs w:val="24"/>
          <w:lang w:eastAsia="ru-RU"/>
        </w:rPr>
        <w:t>Пьяных, О. П.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>   Лечебное питание при гипертонической болезни у пациентов с сахарным диабетом / О. П. Пьяных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Диабет. Образ жизни. - 2015. - № 6. - С. 14-16.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BC1F88">
        <w:rPr>
          <w:rFonts w:eastAsia="Times New Roman" w:cs="Times New Roman"/>
          <w:bCs/>
          <w:sz w:val="24"/>
          <w:szCs w:val="24"/>
          <w:lang w:eastAsia="ru-RU"/>
        </w:rPr>
        <w:t>Скибицкий</w:t>
      </w:r>
      <w:proofErr w:type="spellEnd"/>
      <w:r w:rsidRPr="00BC1F88">
        <w:rPr>
          <w:rFonts w:eastAsia="Times New Roman" w:cs="Times New Roman"/>
          <w:bCs/>
          <w:sz w:val="24"/>
          <w:szCs w:val="24"/>
          <w:lang w:eastAsia="ru-RU"/>
        </w:rPr>
        <w:t>, В. В.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   Эффективность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диспергируемой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 формы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периндоприла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 у пациентов с артериальной гипертонией в клинической практике / В. В.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Скибицкий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Кардиология. - 2016. - № 2. - С. 19-23.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13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C1F88">
        <w:rPr>
          <w:rFonts w:eastAsia="Times New Roman" w:cs="Times New Roman"/>
          <w:sz w:val="24"/>
          <w:szCs w:val="24"/>
          <w:lang w:eastAsia="ru-RU"/>
        </w:rPr>
        <w:t xml:space="preserve">   Сочетанное применение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немедикаментозных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 средств - лечебной физкультуры и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биорезонансной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 терапии в комплексном санаторно-курортном лечении больных гипертонической болезнью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Военно-медицинский журнал. - 2016. - № 1. - С. 55-57.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BC1F88">
        <w:rPr>
          <w:rFonts w:eastAsia="Times New Roman" w:cs="Times New Roman"/>
          <w:bCs/>
          <w:sz w:val="24"/>
          <w:szCs w:val="24"/>
          <w:lang w:eastAsia="ru-RU"/>
        </w:rPr>
        <w:t>Стрюк</w:t>
      </w:r>
      <w:proofErr w:type="spellEnd"/>
      <w:r w:rsidRPr="00BC1F88">
        <w:rPr>
          <w:rFonts w:eastAsia="Times New Roman" w:cs="Times New Roman"/>
          <w:bCs/>
          <w:sz w:val="24"/>
          <w:szCs w:val="24"/>
          <w:lang w:eastAsia="ru-RU"/>
        </w:rPr>
        <w:t>, Р. И.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   Лечение пациентов с артериальной гипертензией: как добиться результата и </w:t>
      </w:r>
      <w:r w:rsidRPr="00BC1F88">
        <w:rPr>
          <w:rFonts w:eastAsia="Times New Roman" w:cs="Times New Roman"/>
          <w:sz w:val="24"/>
          <w:szCs w:val="24"/>
          <w:lang w:eastAsia="ru-RU"/>
        </w:rPr>
        <w:lastRenderedPageBreak/>
        <w:t xml:space="preserve">повысить приверженность / Р. И.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Стрюк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CONSILIUM MEDICUM. - 2015. - Т. 17, № 12. - С. 8-12.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Бибилиогр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25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BC1F88">
        <w:rPr>
          <w:rFonts w:eastAsia="Times New Roman" w:cs="Times New Roman"/>
          <w:bCs/>
          <w:sz w:val="24"/>
          <w:szCs w:val="24"/>
          <w:lang w:eastAsia="ru-RU"/>
        </w:rPr>
        <w:t>Трухан</w:t>
      </w:r>
      <w:proofErr w:type="spellEnd"/>
      <w:r w:rsidRPr="00BC1F88">
        <w:rPr>
          <w:rFonts w:eastAsia="Times New Roman" w:cs="Times New Roman"/>
          <w:bCs/>
          <w:sz w:val="24"/>
          <w:szCs w:val="24"/>
          <w:lang w:eastAsia="ru-RU"/>
        </w:rPr>
        <w:t>, Д. И.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   Выбор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диуретика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 для лечения артериальной гипертензии с позиций рациональной фармакотерапии / Д. И.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Трухан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Справочник поликлинического врача. - 2015. - № 10. - С. 4-9.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40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C1F88">
        <w:rPr>
          <w:rFonts w:eastAsia="Times New Roman" w:cs="Times New Roman"/>
          <w:sz w:val="24"/>
          <w:szCs w:val="24"/>
          <w:lang w:eastAsia="ru-RU"/>
        </w:rPr>
        <w:t xml:space="preserve">   Утренние подъёмы артериального давления: клиническое значение и возможности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кандесартана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 в их коррекции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Кардиологический вестник. - 2015. - № 3. - С. 76-80.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26 назв. </w:t>
      </w:r>
    </w:p>
    <w:p w:rsidR="00BC1F88" w:rsidRPr="00BC1F88" w:rsidRDefault="00BC1F88" w:rsidP="00BC1F88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BC1F88">
        <w:rPr>
          <w:rFonts w:eastAsia="Times New Roman" w:cs="Times New Roman"/>
          <w:bCs/>
          <w:sz w:val="24"/>
          <w:szCs w:val="24"/>
          <w:lang w:eastAsia="ru-RU"/>
        </w:rPr>
        <w:t>Фонякин</w:t>
      </w:r>
      <w:proofErr w:type="spellEnd"/>
      <w:r w:rsidRPr="00BC1F88">
        <w:rPr>
          <w:rFonts w:eastAsia="Times New Roman" w:cs="Times New Roman"/>
          <w:bCs/>
          <w:sz w:val="24"/>
          <w:szCs w:val="24"/>
          <w:lang w:eastAsia="ru-RU"/>
        </w:rPr>
        <w:t>, А. В.</w:t>
      </w:r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   Артериальная гипертония и оптимизация медикаментозной профилактики ишемического инсульта / А. В.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Фонякин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br/>
        <w:t xml:space="preserve">// Кардиология. - 2016. - № 2. - С. 73-78. - </w:t>
      </w:r>
      <w:proofErr w:type="spellStart"/>
      <w:r w:rsidRPr="00BC1F88">
        <w:rPr>
          <w:rFonts w:eastAsia="Times New Roman" w:cs="Times New Roman"/>
          <w:sz w:val="24"/>
          <w:szCs w:val="24"/>
          <w:lang w:eastAsia="ru-RU"/>
        </w:rPr>
        <w:t>Библиогр</w:t>
      </w:r>
      <w:proofErr w:type="spellEnd"/>
      <w:r w:rsidRPr="00BC1F88">
        <w:rPr>
          <w:rFonts w:eastAsia="Times New Roman" w:cs="Times New Roman"/>
          <w:sz w:val="24"/>
          <w:szCs w:val="24"/>
          <w:lang w:eastAsia="ru-RU"/>
        </w:rPr>
        <w:t xml:space="preserve">.: 43 назв. </w:t>
      </w:r>
    </w:p>
    <w:sectPr w:rsidR="00BC1F88" w:rsidRPr="00BC1F88" w:rsidSect="009B0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81E8A"/>
    <w:multiLevelType w:val="multilevel"/>
    <w:tmpl w:val="96941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B43881"/>
    <w:multiLevelType w:val="multilevel"/>
    <w:tmpl w:val="E9C4B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C1F88"/>
    <w:rsid w:val="00220247"/>
    <w:rsid w:val="007B0A45"/>
    <w:rsid w:val="009B0835"/>
    <w:rsid w:val="00AB54B4"/>
    <w:rsid w:val="00BC1F88"/>
    <w:rsid w:val="00C85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08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5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tambov_medli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dlib-tamb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nmb@yandex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Абонент</dc:creator>
  <cp:lastModifiedBy>Абонент</cp:lastModifiedBy>
  <cp:revision>1</cp:revision>
  <dcterms:created xsi:type="dcterms:W3CDTF">2016-05-04T11:35:00Z</dcterms:created>
  <dcterms:modified xsi:type="dcterms:W3CDTF">2016-05-04T13:27:00Z</dcterms:modified>
</cp:coreProperties>
</file>